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4E79"/>
          <w:sz w:val="40"/>
        </w:rPr>
        <w:t>Реестр рисков и меры снижения</w:t>
      </w:r>
    </w:p>
    <w:p>
      <w:r>
        <w:rPr>
          <w:i/>
          <w:color w:val="666666"/>
          <w:sz w:val="22"/>
        </w:rPr>
        <w:t>Автоматическая мебельная фабрика · Industry 4.0 · Сакраменто / Северная Калифорния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Риск</w:t>
            </w:r>
          </w:p>
        </w:tc>
        <w:tc>
          <w:tcPr>
            <w:tcW w:type="dxa" w:w="2880"/>
          </w:tcPr>
          <w:p>
            <w:r>
              <w:rPr>
                <w:b/>
              </w:rPr>
              <w:t>Вероятность</w:t>
            </w:r>
          </w:p>
        </w:tc>
        <w:tc>
          <w:tcPr>
            <w:tcW w:type="dxa" w:w="2880"/>
          </w:tcPr>
          <w:p>
            <w:r>
              <w:rPr>
                <w:b/>
              </w:rPr>
              <w:t>Мера снижения</w:t>
            </w:r>
          </w:p>
        </w:tc>
      </w:tr>
      <w:tr>
        <w:tc>
          <w:tcPr>
            <w:tcW w:type="dxa" w:w="2880"/>
          </w:tcPr>
          <w:p>
            <w:r>
              <w:t>Спрос / скорость продаж (ГЛАВНЫЙ риск)</w:t>
            </w:r>
          </w:p>
        </w:tc>
        <w:tc>
          <w:tcPr>
            <w:tcW w:type="dxa" w:w="2880"/>
          </w:tcPr>
          <w:p>
            <w:r>
              <w:t>Средняя–высокая</w:t>
            </w:r>
          </w:p>
        </w:tc>
        <w:tc>
          <w:tcPr>
            <w:tcW w:type="dxa" w:w="2880"/>
          </w:tcPr>
          <w:p>
            <w:r>
              <w:t>Завод способен на объём; ограничение — продажи. Агрессивный маркетинг ($20k/мес + 9% выручки), онлайн-конфигуратор, ранние B2B-контракты, опт соседним цехам. Старт можно вести по консервативному плану.</w:t>
            </w:r>
          </w:p>
        </w:tc>
      </w:tr>
      <w:tr>
        <w:tc>
          <w:tcPr>
            <w:tcW w:type="dxa" w:w="2880"/>
          </w:tcPr>
          <w:p>
            <w:r>
              <w:t>Срок монтажа/пусконаладки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Линия «под ключ» от одного интегратора с сервисом в США; фикс. сроки и обучение в контракте; буфер в графике.</w:t>
            </w:r>
          </w:p>
        </w:tc>
      </w:tr>
      <w:tr>
        <w:tc>
          <w:tcPr>
            <w:tcW w:type="dxa" w:w="2880"/>
          </w:tcPr>
          <w:p>
            <w:r>
              <w:t>Разрешения CARB / SCAQMD (покраска + пыль)</w:t>
            </w:r>
          </w:p>
        </w:tc>
        <w:tc>
          <w:tcPr>
            <w:tcW w:type="dxa" w:w="2880"/>
          </w:tcPr>
          <w:p>
            <w:r>
              <w:t>Средняя–высокая</w:t>
            </w:r>
          </w:p>
        </w:tc>
        <w:tc>
          <w:tcPr>
            <w:tcW w:type="dxa" w:w="2880"/>
          </w:tcPr>
          <w:p>
            <w:r>
              <w:t>Заложены в подготовку помещения и график; покраска с UV/вытяжкой по нормам; возможна работа на foil-фасадах на старте, покраска — позже.</w:t>
            </w:r>
          </w:p>
        </w:tc>
      </w:tr>
      <w:tr>
        <w:tc>
          <w:tcPr>
            <w:tcW w:type="dxa" w:w="2880"/>
          </w:tcPr>
          <w:p>
            <w:r>
              <w:t>Горючая древесная/МДФ пыль (NFPA 652/664)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Аспирация с циклоном/рукавным фильтром, искрогашение и взрыворазрядники; Dust Hazard Analysis; SonicAire; автоматический контроль.</w:t>
            </w:r>
          </w:p>
        </w:tc>
      </w:tr>
      <w:tr>
        <w:tc>
          <w:tcPr>
            <w:tcW w:type="dxa" w:w="2880"/>
          </w:tcPr>
          <w:p>
            <w:r>
              <w:t>Утилизация обрезков ДСП/МДФ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ДСП/МДФ НЕ сжигаем и НЕ брикетируем (формальдегид; МДФ-брикеты нельзя продавать как топливо). Обрезки измельчаем шредером, пыль+щепа идут в силос и уплотняются стационарным шнековым компактором прямо в закрытый ролл-офф (объём ~3–4:1, вдвое меньше вывозов). Процесс полностью автоматизирован (IoT-датчики уровня, авто-вызов вывоза, без ручных операций); сдаём C&amp;D-переработчику.</w:t>
            </w:r>
          </w:p>
        </w:tc>
      </w:tr>
      <w:tr>
        <w:tc>
          <w:tcPr>
            <w:tcW w:type="dxa" w:w="2880"/>
          </w:tcPr>
          <w:p>
            <w:r>
              <w:t>Рост цен на материалы / тарифы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Несколько поставщиков; пила даёт высокий выход материала; пересмотр цен в котировках; маржинальность 50% имеет запас.</w:t>
            </w:r>
          </w:p>
        </w:tc>
      </w:tr>
      <w:tr>
        <w:tc>
          <w:tcPr>
            <w:tcW w:type="dxa" w:w="2880"/>
          </w:tcPr>
          <w:p>
            <w:r>
              <w:t>Дефицит профильных специалистов</w:t>
            </w:r>
          </w:p>
        </w:tc>
        <w:tc>
          <w:tcPr>
            <w:tcW w:type="dxa" w:w="2880"/>
          </w:tcPr>
          <w:p>
            <w:r>
              <w:t>Низкая</w:t>
            </w:r>
          </w:p>
        </w:tc>
        <w:tc>
          <w:tcPr>
            <w:tcW w:type="dxa" w:w="2880"/>
          </w:tcPr>
          <w:p>
            <w:r>
              <w:t>Нужно ~7 человек; все операторы кросс-обучены на несколько станций; процессы документированы (SOP); присадка/упаковка автоматизированы; обучение под запуск.</w:t>
            </w:r>
          </w:p>
        </w:tc>
      </w:tr>
      <w:tr>
        <w:tc>
          <w:tcPr>
            <w:tcW w:type="dxa" w:w="2880"/>
          </w:tcPr>
          <w:p>
            <w:r>
              <w:t>Кассовый разрыв на старте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Оборотный капитал и резерв заложены в раунд; при 2 сменах — доп. буфер.</w:t>
            </w:r>
          </w:p>
        </w:tc>
      </w:tr>
      <w:tr>
        <w:tc>
          <w:tcPr>
            <w:tcW w:type="dxa" w:w="2880"/>
          </w:tcPr>
          <w:p>
            <w:r>
              <w:t>Отказ/простой оборудования</w:t>
            </w:r>
          </w:p>
        </w:tc>
        <w:tc>
          <w:tcPr>
            <w:tcW w:type="dxa" w:w="2880"/>
          </w:tcPr>
          <w:p>
            <w:r>
              <w:t>Низкая</w:t>
            </w:r>
          </w:p>
        </w:tc>
        <w:tc>
          <w:tcPr>
            <w:tcW w:type="dxa" w:w="2880"/>
          </w:tcPr>
          <w:p>
            <w:r>
              <w:t>Сервисный контракт, ЗИП, удалённая диагностика; модульность линии; масштабирование кромки (резерв по узкому месту).</w:t>
            </w:r>
          </w:p>
        </w:tc>
      </w:tr>
      <w:tr>
        <w:tc>
          <w:tcPr>
            <w:tcW w:type="dxa" w:w="2880"/>
          </w:tcPr>
          <w:p>
            <w:r>
              <w:t>Средний чек / рыночное позиционирование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$14 050 показывать только как B2B wholesale cabinet package, не как полный kitchen remodel. В презентации и модели держать sensitivity $12k / $14.05k / $16k.</w:t>
            </w:r>
          </w:p>
        </w:tc>
      </w:tr>
      <w:tr>
        <w:tc>
          <w:tcPr>
            <w:tcW w:type="dxa" w:w="2880"/>
          </w:tcPr>
          <w:p>
            <w:r>
              <w:t>Лизинг / ASC 842 / double counting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Вести lease-сценарий отдельно: ROU asset/liability и lease payment по ASC 842; не совмещать lease payment с амортизацией leased equipment.</w:t>
            </w:r>
          </w:p>
        </w:tc>
      </w:tr>
      <w:tr>
        <w:tc>
          <w:tcPr>
            <w:tcW w:type="dxa" w:w="2880"/>
          </w:tcPr>
          <w:p>
            <w:r>
              <w:t>Sales/use tax и налоговая амортизация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Проверить CDTFA manufacturing partial exemption, district tax, Section 179/bonus depreciation и book/tax timing у CPA до закрытия сделки.</w:t>
            </w:r>
          </w:p>
        </w:tc>
      </w:tr>
      <w:tr>
        <w:tc>
          <w:tcPr>
            <w:tcW w:type="dxa" w:w="2880"/>
          </w:tcPr>
          <w:p>
            <w:r>
              <w:t>Формулы / версии investor files</w:t>
            </w:r>
          </w:p>
        </w:tc>
        <w:tc>
          <w:tcPr>
            <w:tcW w:type="dxa" w:w="2880"/>
          </w:tcPr>
          <w:p>
            <w:r>
              <w:t>Низкая</w:t>
            </w:r>
          </w:p>
        </w:tc>
        <w:tc>
          <w:tcPr>
            <w:tcW w:type="dxa" w:w="2880"/>
          </w:tcPr>
          <w:p>
            <w:r>
              <w:t>В Excel добавлен Checks sheet; публичный financial-model.xlsx и investor-package.zip должны обновляться одновременно с мастер-моделью.</w:t>
            </w:r>
          </w:p>
        </w:tc>
      </w:tr>
      <w:tr>
        <w:tc>
          <w:tcPr>
            <w:tcW w:type="dxa" w:w="2880"/>
          </w:tcPr>
          <w:p>
            <w:r>
              <w:t>Болезнь / уход оператора</w:t>
            </w:r>
          </w:p>
        </w:tc>
        <w:tc>
          <w:tcPr>
            <w:tcW w:type="dxa" w:w="2880"/>
          </w:tcPr>
          <w:p>
            <w:r>
              <w:t>Средняя</w:t>
            </w:r>
          </w:p>
        </w:tc>
        <w:tc>
          <w:tcPr>
            <w:tcW w:type="dxa" w:w="2880"/>
          </w:tcPr>
          <w:p>
            <w:r>
              <w:t>Все операторы кросс-обучены на несколько станций — выпадение одного не останавливает линию. Договор с temp-агентством Сакраменто (замена за дни) + овертайм-резерв + рекрутинговый бюджет заложены в постоянные расходы. SOP позволяют быстро ввести замену.</w:t>
            </w:r>
          </w:p>
        </w:tc>
      </w:tr>
    </w:tbl>
    <w:p>
      <w:r>
        <w:rPr>
          <w:b w:val="0"/>
        </w:rPr>
        <w:t>Финансовая устойчивость: даже в консервативном сценарии операционный денежный поток не уходит в минус по операционной части после выхода на безубыточность; чувствительность к ключевым допущениям (чек, маржа, разгон, реклама, мощность) проверяется на листе «Сценарии» Excel-модели.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