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1F4E79"/>
          <w:sz w:val="40"/>
        </w:rPr>
        <w:t>Использование средств и условия сделки</w:t>
      </w:r>
    </w:p>
    <w:p>
      <w:r>
        <w:rPr>
          <w:i/>
          <w:color w:val="666666"/>
          <w:sz w:val="22"/>
        </w:rPr>
        <w:t>Автоматическая мебельная фабрика · Industry 4.0 · Сакраменто / Северная Калифорния</w:t>
      </w:r>
    </w:p>
    <w:p/>
    <w:p>
      <w:r>
        <w:rPr>
          <w:b/>
          <w:color w:val="1F4E79"/>
          <w:sz w:val="26"/>
        </w:rPr>
        <w:t>Объём раунда</w:t>
      </w:r>
    </w:p>
    <w:p>
      <w:r>
        <w:rPr>
          <w:b w:val="0"/>
        </w:rPr>
        <w:t>Основной способ входа — лизинг оборудования: вход инвестора ~$1.9M (аванс + оборотный капитал + резерв) вместо полного выкупа за $5.0M. Полный выкуп $5.0M (Recommended I4.0) покрывает CapEx линии «под ключ», подготовку помещения и оборотный капитал до самоокупаемости (безубыточность по EBITDA на 6-м месяце) — приведён ниже как альтернатива. Возможен фазовый старт на value-тире (~$2.0–2.2M).</w:t>
      </w:r>
    </w:p>
    <w:p>
      <w:r>
        <w:rPr>
          <w:b/>
          <w:color w:val="1F4E79"/>
          <w:sz w:val="26"/>
        </w:rPr>
        <w:t>Структура использования средств (база $5.0M)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Назначение</w:t>
            </w:r>
          </w:p>
        </w:tc>
        <w:tc>
          <w:tcPr>
            <w:tcW w:type="dxa" w:w="2880"/>
          </w:tcPr>
          <w:p>
            <w:r>
              <w:t>Сумма</w:t>
            </w:r>
          </w:p>
        </w:tc>
        <w:tc>
          <w:tcPr>
            <w:tcW w:type="dxa" w:w="2880"/>
          </w:tcPr>
          <w:p>
            <w:r>
              <w:t>Доля</w:t>
            </w:r>
          </w:p>
        </w:tc>
      </w:tr>
      <w:tr>
        <w:tc>
          <w:tcPr>
            <w:tcW w:type="dxa" w:w="2880"/>
          </w:tcPr>
          <w:p>
            <w:r>
              <w:t>Оборудование линии HOMAG «под ключ» (вкл. утилизацию отходов + HVAC)</w:t>
            </w:r>
          </w:p>
        </w:tc>
        <w:tc>
          <w:tcPr>
            <w:tcW w:type="dxa" w:w="2880"/>
          </w:tcPr>
          <w:p>
            <w:r>
              <w:t>$3 410 000</w:t>
            </w:r>
          </w:p>
        </w:tc>
        <w:tc>
          <w:tcPr>
            <w:tcW w:type="dxa" w:w="2880"/>
          </w:tcPr>
          <w:p>
            <w:r>
              <w:t>68%</w:t>
            </w:r>
          </w:p>
        </w:tc>
      </w:tr>
      <w:tr>
        <w:tc>
          <w:tcPr>
            <w:tcW w:type="dxa" w:w="2880"/>
          </w:tcPr>
          <w:p>
            <w:r>
              <w:t>Стартовый ЗИП / инструмент / фрезы / пилы / оснастка запуска</w:t>
            </w:r>
          </w:p>
        </w:tc>
        <w:tc>
          <w:tcPr>
            <w:tcW w:type="dxa" w:w="2880"/>
          </w:tcPr>
          <w:p>
            <w:r>
              <w:t>$50 000</w:t>
            </w:r>
          </w:p>
        </w:tc>
        <w:tc>
          <w:tcPr>
            <w:tcW w:type="dxa" w:w="2880"/>
          </w:tcPr>
          <w:p>
            <w:r>
              <w:t>1%</w:t>
            </w:r>
          </w:p>
        </w:tc>
      </w:tr>
      <w:tr>
        <w:tc>
          <w:tcPr>
            <w:tcW w:type="dxa" w:w="2880"/>
          </w:tcPr>
          <w:p>
            <w:r>
              <w:t>Монтаж, пусконаладка, ПО/MES, обучение (HOMAG turnkey)</w:t>
            </w:r>
          </w:p>
        </w:tc>
        <w:tc>
          <w:tcPr>
            <w:tcW w:type="dxa" w:w="2880"/>
          </w:tcPr>
          <w:p>
            <w:r>
              <w:t>$400 000</w:t>
            </w:r>
          </w:p>
        </w:tc>
        <w:tc>
          <w:tcPr>
            <w:tcW w:type="dxa" w:w="2880"/>
          </w:tcPr>
          <w:p>
            <w:r>
              <w:t>8%</w:t>
            </w:r>
          </w:p>
        </w:tc>
      </w:tr>
      <w:tr>
        <w:tc>
          <w:tcPr>
            <w:tcW w:type="dxa" w:w="2880"/>
          </w:tcPr>
          <w:p>
            <w:r>
              <w:t>Помещение: 3ф питание, воздуховоды, покрасочная зона, CARB/SCAQMD</w:t>
            </w:r>
          </w:p>
        </w:tc>
        <w:tc>
          <w:tcPr>
            <w:tcW w:type="dxa" w:w="2880"/>
          </w:tcPr>
          <w:p>
            <w:r>
              <w:t>$280 000</w:t>
            </w:r>
          </w:p>
        </w:tc>
        <w:tc>
          <w:tcPr>
            <w:tcW w:type="dxa" w:w="2880"/>
          </w:tcPr>
          <w:p>
            <w:r>
              <w:t>6%</w:t>
            </w:r>
          </w:p>
        </w:tc>
      </w:tr>
      <w:tr>
        <w:tc>
          <w:tcPr>
            <w:tcW w:type="dxa" w:w="2880"/>
          </w:tcPr>
          <w:p>
            <w:r>
              <w:t>Оборотный капитал (материалы, ФОТ, реклама до безубыточности)</w:t>
            </w:r>
          </w:p>
        </w:tc>
        <w:tc>
          <w:tcPr>
            <w:tcW w:type="dxa" w:w="2880"/>
          </w:tcPr>
          <w:p>
            <w:r>
              <w:t>$550 000</w:t>
            </w:r>
          </w:p>
        </w:tc>
        <w:tc>
          <w:tcPr>
            <w:tcW w:type="dxa" w:w="2880"/>
          </w:tcPr>
          <w:p>
            <w:r>
              <w:t>11%</w:t>
            </w:r>
          </w:p>
        </w:tc>
      </w:tr>
      <w:tr>
        <w:tc>
          <w:tcPr>
            <w:tcW w:type="dxa" w:w="2880"/>
          </w:tcPr>
          <w:p>
            <w:r>
              <w:t>Резерв / непредвиденное</w:t>
            </w:r>
          </w:p>
        </w:tc>
        <w:tc>
          <w:tcPr>
            <w:tcW w:type="dxa" w:w="2880"/>
          </w:tcPr>
          <w:p>
            <w:r>
              <w:t>$310 000</w:t>
            </w:r>
          </w:p>
        </w:tc>
        <w:tc>
          <w:tcPr>
            <w:tcW w:type="dxa" w:w="2880"/>
          </w:tcPr>
          <w:p>
            <w:r>
              <w:t>6%</w:t>
            </w:r>
          </w:p>
        </w:tc>
      </w:tr>
      <w:tr>
        <w:tc>
          <w:tcPr>
            <w:tcW w:type="dxa" w:w="2880"/>
          </w:tcPr>
          <w:p>
            <w:r>
              <w:t>ИТОГО</w:t>
            </w:r>
          </w:p>
        </w:tc>
        <w:tc>
          <w:tcPr>
            <w:tcW w:type="dxa" w:w="2880"/>
          </w:tcPr>
          <w:p>
            <w:r>
              <w:t>$5 000 000</w:t>
            </w:r>
          </w:p>
        </w:tc>
        <w:tc>
          <w:tcPr>
            <w:tcW w:type="dxa" w:w="2880"/>
          </w:tcPr>
          <w:p>
            <w:r>
              <w:t>100%</w:t>
            </w:r>
          </w:p>
        </w:tc>
      </w:tr>
    </w:tbl>
    <w:p>
      <w:r>
        <w:rPr>
          <w:b w:val="0"/>
        </w:rPr>
        <w:t>Точные значения и помесячное расходование — в Excel-модели (листы «CapEx», «Допущения», «Сценарии») с автоматическим пересчётом. При выборе варианта «2 смены со 2-го года» закладывается дополнительный оборотный капитал на 2-ю бригаду.</w:t>
      </w:r>
    </w:p>
    <w:p>
      <w:r>
        <w:rPr>
          <w:b/>
          <w:color w:val="1F4E79"/>
          <w:sz w:val="26"/>
        </w:rPr>
        <w:t>Возврат и доходность (3 сценария)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rPr>
                <w:b/>
              </w:rPr>
              <w:t>Сценарий</w:t>
            </w:r>
          </w:p>
        </w:tc>
        <w:tc>
          <w:tcPr>
            <w:tcW w:type="dxa" w:w="2160"/>
          </w:tcPr>
          <w:p>
            <w:r>
              <w:rPr>
                <w:b/>
              </w:rPr>
              <w:t>EBITDA Y3</w:t>
            </w:r>
          </w:p>
        </w:tc>
        <w:tc>
          <w:tcPr>
            <w:tcW w:type="dxa" w:w="2160"/>
          </w:tcPr>
          <w:p>
            <w:r>
              <w:rPr>
                <w:b/>
              </w:rPr>
              <w:t>Окупаемость (после налога)</w:t>
            </w:r>
          </w:p>
        </w:tc>
        <w:tc>
          <w:tcPr>
            <w:tcW w:type="dxa" w:w="2160"/>
          </w:tcPr>
          <w:p>
            <w:r>
              <w:rPr>
                <w:b/>
              </w:rPr>
              <w:t>ROI Y3 (после налога)</w:t>
            </w:r>
          </w:p>
        </w:tc>
      </w:tr>
      <w:tr>
        <w:tc>
          <w:tcPr>
            <w:tcW w:type="dxa" w:w="2160"/>
          </w:tcPr>
          <w:p>
            <w:r>
              <w:t>Консервативный</w:t>
            </w:r>
          </w:p>
        </w:tc>
        <w:tc>
          <w:tcPr>
            <w:tcW w:type="dxa" w:w="2160"/>
          </w:tcPr>
          <w:p>
            <w:r>
              <w:t>$2.78M</w:t>
            </w:r>
          </w:p>
        </w:tc>
        <w:tc>
          <w:tcPr>
            <w:tcW w:type="dxa" w:w="2160"/>
          </w:tcPr>
          <w:p>
            <w:r>
              <w:t>~4.0 года</w:t>
            </w:r>
          </w:p>
        </w:tc>
        <w:tc>
          <w:tcPr>
            <w:tcW w:type="dxa" w:w="2160"/>
          </w:tcPr>
          <w:p>
            <w:r>
              <w:t>~34%</w:t>
            </w:r>
          </w:p>
        </w:tc>
      </w:tr>
      <w:tr>
        <w:tc>
          <w:tcPr>
            <w:tcW w:type="dxa" w:w="2160"/>
          </w:tcPr>
          <w:p>
            <w:r>
              <w:t>Агрессивный (1 смена)</w:t>
            </w:r>
          </w:p>
        </w:tc>
        <w:tc>
          <w:tcPr>
            <w:tcW w:type="dxa" w:w="2160"/>
          </w:tcPr>
          <w:p>
            <w:r>
              <w:t>$5.31M</w:t>
            </w:r>
          </w:p>
        </w:tc>
        <w:tc>
          <w:tcPr>
            <w:tcW w:type="dxa" w:w="2160"/>
          </w:tcPr>
          <w:p>
            <w:r>
              <w:t>~2.7 года</w:t>
            </w:r>
          </w:p>
        </w:tc>
        <w:tc>
          <w:tcPr>
            <w:tcW w:type="dxa" w:w="2160"/>
          </w:tcPr>
          <w:p>
            <w:r>
              <w:t>~71%</w:t>
            </w:r>
          </w:p>
        </w:tc>
      </w:tr>
      <w:tr>
        <w:tc>
          <w:tcPr>
            <w:tcW w:type="dxa" w:w="2160"/>
          </w:tcPr>
          <w:p>
            <w:r>
              <w:t>Агрессивный + 2 смены</w:t>
            </w:r>
          </w:p>
        </w:tc>
        <w:tc>
          <w:tcPr>
            <w:tcW w:type="dxa" w:w="2160"/>
          </w:tcPr>
          <w:p>
            <w:r>
              <w:t>$7.34M</w:t>
            </w:r>
          </w:p>
        </w:tc>
        <w:tc>
          <w:tcPr>
            <w:tcW w:type="dxa" w:w="2160"/>
          </w:tcPr>
          <w:p>
            <w:r>
              <w:t>~2.3 года</w:t>
            </w:r>
          </w:p>
        </w:tc>
        <w:tc>
          <w:tcPr>
            <w:tcW w:type="dxa" w:w="2160"/>
          </w:tcPr>
          <w:p>
            <w:r>
              <w:t>~100%</w:t>
            </w:r>
          </w:p>
        </w:tc>
      </w:tr>
    </w:tbl>
    <w:p>
      <w:r>
        <w:rPr>
          <w:b w:val="0"/>
        </w:rPr>
        <w:t>Показатели рассчитаны честно: с учётом амортизации, налога (CA+фед), воркерс-комп, медстраховки персонала, бухгалтерии/CPA и payroll-сервиса, налога на имущество Калифорнии (~1%/год), разрешений AQMD/CARB и утилизации ЛКМ, клининга, СИЗ/охраны труда, резерва на болезнь/текучку (temp-агентство + овертайм), гарантийного резерва 1.5% выручки, NFPA-системы по горючей пыли, страхования, расходников, поддержки ПО и агрессивного маркетинга. Постоянные расходы ~$128k/мес (полный режим).</w:t>
      </w:r>
    </w:p>
    <w:p>
      <w:r>
        <w:rPr>
          <w:b/>
          <w:color w:val="1F4E79"/>
          <w:sz w:val="26"/>
        </w:rPr>
        <w:t>Структура сделки (к обсуждению)</w:t>
      </w:r>
    </w:p>
    <w:p>
      <w:r>
        <w:rPr>
          <w:b w:val="0"/>
        </w:rPr>
        <w:t>Возможные форматы: доля в капитале (equity) в компании-операторе; конвертируемый заём; или гибрид equity + долговое финансирование части CapEx (оборудование как залог). Конкретная оценка, доля и права инвестора согласовываются по итогам due diligence. Документ носит информационный характер и не является офертой.</w:t>
      </w:r>
    </w:p>
    <w:p/>
    <w:p>
      <w:pPr>
        <w:pStyle w:val="Heading2"/>
        <w:keepNext/>
      </w:pPr>
      <w:r>
        <w:t>Лизинг оборудования — основной вход</w:t>
      </w:r>
    </w:p>
    <w:p>
      <w:r>
        <w:t>ОСНОВНОЙ способ входа — лизинг оборудования ~$3.41M, который снижает порог для инвестора. База: 10% аванс, 72 мес, 9% APR → платёж ~$55.3k/мес, требуемый вход (equity + оборотный капитал + резерв) снижается с $5.0M примерно до $1.9M. Стресс-условия стартапа (15% / 60 мес / 12%): ~$64k/мес, вход ~$2.1M. Lease payment — отдельный операционный расход; leased equipment исключается из owned-equipment depreciation (без double counting). Полный выкуп за $5.0M — альтернатива.</w:t>
      </w:r>
    </w:p>
    <w:p>
      <w:r>
        <w:t>Accounting/tax notes: ASC 842 classification (operating vs finance lease), ROU asset/liability, book/tax differences, Section 179/bonus depreciation, CA sales/use tax и CDTFA manufacturing partial exemption должны быть подтверждены CPA перед investor closing.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