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4E79"/>
          <w:sz w:val="40"/>
        </w:rPr>
        <w:t>Анализ рынка</w:t>
      </w:r>
    </w:p>
    <w:p>
      <w:r>
        <w:rPr>
          <w:i/>
          <w:color w:val="666666"/>
          <w:sz w:val="22"/>
        </w:rPr>
        <w:t>Автоматическая мебельная фабрика · Industry 4.0 · Сакраменто / Северная Калифорния</w:t>
      </w:r>
    </w:p>
    <w:p/>
    <w:p>
      <w:r>
        <w:rPr>
          <w:b/>
          <w:color w:val="1F4E79"/>
          <w:sz w:val="26"/>
        </w:rPr>
        <w:t>География и объём</w:t>
      </w:r>
    </w:p>
    <w:p>
      <w:r>
        <w:rPr>
          <w:b w:val="0"/>
        </w:rPr>
        <w:t>Целевой рынок — вся Северная Калифорния (Bay Area + Сакраменто + Центральная долина, ~15 млн чел.). Оценка рынка кабинетов — ~$1B+/год. Драйверы: новое жильё, ремонты, ADU, коммерческие интерьеры. Flat-pack доставляется по всему региону.</w:t>
      </w:r>
    </w:p>
    <w:p>
      <w:r>
        <w:rPr>
          <w:b/>
          <w:color w:val="1F4E79"/>
          <w:sz w:val="26"/>
        </w:rPr>
        <w:t>Наша доля рынка (по объёму производства)</w:t>
      </w:r>
    </w:p>
    <w:p>
      <w:r>
        <w:rPr>
          <w:b w:val="0"/>
        </w:rPr>
        <w:t>TAM (весь рынок кабинетов Сев. Калифорнии) ~$1B+/год; SAM (наш B2B-опт сегмент) ~$150–250M/год. Выручка Год 3 по сценариям: $9.8M (консерв.) / $16.9M (агрессив.) / $23.9M (2 смены) — это ~1.0–2.4% всего рынка (TAM) или ~5–12% нашего сегмента (SAM). Мощность завода ~2 520 кухонь/год (1 смена), до ~4 800 (2 смены) — физически покрывает эти объёмы; ограничение — спрос/скорость продаж, не производство.</w:t>
      </w:r>
    </w:p>
    <w:p>
      <w:r>
        <w:rPr>
          <w:b/>
          <w:color w:val="1F4E79"/>
          <w:sz w:val="26"/>
        </w:rPr>
        <w:t>Цена и средний чек (рыночные данные)</w:t>
      </w:r>
    </w:p>
    <w:p>
      <w:r>
        <w:t>Sacramento 2025 remodel-бенчмарки: minor kitchen remodel ~$27k, major midrange ~$79k, major upscale ~$159k. Эти цифры включают широкий объём работ и не равны стоимости мебели. Наш средний чек ~$14 050 — B2B wholesale cabinet package: корпус/фасады/фурнитура/flat-pack без установки, countertops, appliances, plumbing/electrical и полной remodel-сметы. При кастом-миксе средний опт. чек ≈ $14 050: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Тир</w:t>
            </w:r>
          </w:p>
        </w:tc>
        <w:tc>
          <w:tcPr>
            <w:tcW w:type="dxa" w:w="2880"/>
          </w:tcPr>
          <w:p>
            <w:r>
              <w:rPr>
                <w:b/>
              </w:rPr>
              <w:t>Доля заказов</w:t>
            </w:r>
          </w:p>
        </w:tc>
        <w:tc>
          <w:tcPr>
            <w:tcW w:type="dxa" w:w="2880"/>
          </w:tcPr>
          <w:p>
            <w:r>
              <w:t>Средний чек (опт, B2B cabinet package)</w:t>
            </w:r>
          </w:p>
        </w:tc>
      </w:tr>
      <w:tr>
        <w:tc>
          <w:tcPr>
            <w:tcW w:type="dxa" w:w="2880"/>
          </w:tcPr>
          <w:p>
            <w:r>
              <w:t>Value (плёнка/RTA-стиль)</w:t>
            </w:r>
          </w:p>
        </w:tc>
        <w:tc>
          <w:tcPr>
            <w:tcW w:type="dxa" w:w="2880"/>
          </w:tcPr>
          <w:p>
            <w:r>
              <w:t>20%</w:t>
            </w:r>
          </w:p>
        </w:tc>
        <w:tc>
          <w:tcPr>
            <w:tcW w:type="dxa" w:w="2880"/>
          </w:tcPr>
          <w:p>
            <w:r>
              <w:t>$7 000</w:t>
            </w:r>
          </w:p>
        </w:tc>
      </w:tr>
      <w:tr>
        <w:tc>
          <w:tcPr>
            <w:tcW w:type="dxa" w:w="2880"/>
          </w:tcPr>
          <w:p>
            <w:r>
              <w:t>Mid custom (крашеный МДФ)</w:t>
            </w:r>
          </w:p>
        </w:tc>
        <w:tc>
          <w:tcPr>
            <w:tcW w:type="dxa" w:w="2880"/>
          </w:tcPr>
          <w:p>
            <w:r>
              <w:t>55%</w:t>
            </w:r>
          </w:p>
        </w:tc>
        <w:tc>
          <w:tcPr>
            <w:tcW w:type="dxa" w:w="2880"/>
          </w:tcPr>
          <w:p>
            <w:r>
              <w:t>$13 000</w:t>
            </w:r>
          </w:p>
        </w:tc>
      </w:tr>
      <w:tr>
        <w:tc>
          <w:tcPr>
            <w:tcW w:type="dxa" w:w="2880"/>
          </w:tcPr>
          <w:p>
            <w:r>
              <w:t>Premium (большие/спец)</w:t>
            </w:r>
          </w:p>
        </w:tc>
        <w:tc>
          <w:tcPr>
            <w:tcW w:type="dxa" w:w="2880"/>
          </w:tcPr>
          <w:p>
            <w:r>
              <w:t>25%</w:t>
            </w:r>
          </w:p>
        </w:tc>
        <w:tc>
          <w:tcPr>
            <w:tcW w:type="dxa" w:w="2880"/>
          </w:tcPr>
          <w:p>
            <w:r>
              <w:t>$22 000</w:t>
            </w:r>
          </w:p>
        </w:tc>
      </w:tr>
      <w:tr>
        <w:tc>
          <w:tcPr>
            <w:tcW w:type="dxa" w:w="2880"/>
          </w:tcPr>
          <w:p>
            <w:r>
              <w:t>Взвешенный средний чек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~$14 050</w:t>
            </w:r>
          </w:p>
        </w:tc>
      </w:tr>
    </w:tbl>
    <w:p>
      <w:r>
        <w:rPr>
          <w:b/>
          <w:color w:val="1F4E79"/>
          <w:sz w:val="26"/>
        </w:rPr>
        <w:t>Сегменты спроса</w:t>
      </w:r>
    </w:p>
    <w:p>
      <w:pPr>
        <w:pStyle w:val="ListBullet"/>
      </w:pPr>
      <w:r>
        <w:t>Застройщики и генподрядчики — объёмные предсказуемые заказы.</w:t>
      </w:r>
    </w:p>
    <w:p>
      <w:pPr>
        <w:pStyle w:val="ListBullet"/>
      </w:pPr>
      <w:r>
        <w:t>Ремонтные компании и дизайнеры — кастом с коротким сроком (онлайн-конфигуратор).</w:t>
      </w:r>
    </w:p>
    <w:p>
      <w:pPr>
        <w:pStyle w:val="ListBullet"/>
      </w:pPr>
      <w:r>
        <w:t>Мебельная розница и кухонные студии — белый лейбл / опт.</w:t>
      </w:r>
    </w:p>
    <w:p>
      <w:pPr>
        <w:pStyle w:val="ListBullet"/>
      </w:pPr>
      <w:r>
        <w:t>Соседние цеха — опт вместо собственного производства («защитный радиус»).</w:t>
      </w:r>
    </w:p>
    <w:p>
      <w:r>
        <w:rPr>
          <w:b/>
          <w:color w:val="1F4E79"/>
          <w:sz w:val="26"/>
        </w:rPr>
        <w:t>Конкурентный «защитный радиус»</w:t>
      </w:r>
    </w:p>
    <w:p>
      <w:r>
        <w:rPr>
          <w:b w:val="0"/>
        </w:rPr>
        <w:t>Внутри ~150 миль вокруг автоматизированного хаба традиционные цеха ограничены стоимостью труда и не выпускают мебель дешевле нас. Это превращает локальных конкурентов в клиентов. ВАЖНО: на оптовом рынке RTA уже работают Conestoga, Cabinotch, Barker и импортные поставщики — поэтому ключевой аргумент не «нет конкурентов», а себестоимость: автоматизация + локальность (быстрый фрахт, без импортных тарифов и сроков).</w:t>
      </w:r>
    </w:p>
    <w:p>
      <w:r>
        <w:rPr>
          <w:b/>
          <w:color w:val="1F4E79"/>
          <w:sz w:val="26"/>
        </w:rPr>
        <w:t>Срок изготовления — по типу фасада</w:t>
      </w:r>
    </w:p>
    <w:p>
      <w:pPr>
        <w:pStyle w:val="ListBullet"/>
      </w:pPr>
      <w:r>
        <w:t>Плёночные (foil) и плоские UV-крашеные фасады: 48 часов реально (при батчинге цвета).</w:t>
      </w:r>
    </w:p>
    <w:p>
      <w:pPr>
        <w:pStyle w:val="ListBullet"/>
      </w:pPr>
      <w:r>
        <w:t>Профильные/произвольный кастом-цвет: 5–7 рабочих дней (ограничение — смена цвета на покрасочной линии).</w:t>
      </w:r>
    </w:p>
    <w:p>
      <w:r>
        <w:rPr>
          <w:b/>
          <w:color w:val="1F4E79"/>
          <w:sz w:val="26"/>
        </w:rPr>
        <w:t>Масштабирование покрытия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Этап</w:t>
            </w:r>
          </w:p>
        </w:tc>
        <w:tc>
          <w:tcPr>
            <w:tcW w:type="dxa" w:w="2880"/>
          </w:tcPr>
          <w:p>
            <w:r>
              <w:rPr>
                <w:b/>
              </w:rPr>
              <w:t>Регион</w:t>
            </w:r>
          </w:p>
        </w:tc>
        <w:tc>
          <w:tcPr>
            <w:tcW w:type="dxa" w:w="2880"/>
          </w:tcPr>
          <w:p>
            <w:r>
              <w:rPr>
                <w:b/>
              </w:rPr>
              <w:t>Логика</w:t>
            </w:r>
          </w:p>
        </w:tc>
      </w:tr>
      <w:tr>
        <w:tc>
          <w:tcPr>
            <w:tcW w:type="dxa" w:w="2880"/>
          </w:tcPr>
          <w:p>
            <w:r>
              <w:t>Старт</w:t>
            </w:r>
          </w:p>
        </w:tc>
        <w:tc>
          <w:tcPr>
            <w:tcW w:type="dxa" w:w="2880"/>
          </w:tcPr>
          <w:p>
            <w:r>
              <w:t>Сакраменто (хаб)</w:t>
            </w:r>
          </w:p>
        </w:tc>
        <w:tc>
          <w:tcPr>
            <w:tcW w:type="dxa" w:w="2880"/>
          </w:tcPr>
          <w:p>
            <w:r>
              <w:t>База, 1 смена</w:t>
            </w:r>
          </w:p>
        </w:tc>
      </w:tr>
      <w:tr>
        <w:tc>
          <w:tcPr>
            <w:tcW w:type="dxa" w:w="2880"/>
          </w:tcPr>
          <w:p>
            <w:r>
              <w:t>Год 1–2</w:t>
            </w:r>
          </w:p>
        </w:tc>
        <w:tc>
          <w:tcPr>
            <w:tcW w:type="dxa" w:w="2880"/>
          </w:tcPr>
          <w:p>
            <w:r>
              <w:t>Bay Area + долина</w:t>
            </w:r>
          </w:p>
        </w:tc>
        <w:tc>
          <w:tcPr>
            <w:tcW w:type="dxa" w:w="2880"/>
          </w:tcPr>
          <w:p>
            <w:r>
              <w:t>В радиусе по себестоимости</w:t>
            </w:r>
          </w:p>
        </w:tc>
      </w:tr>
      <w:tr>
        <w:tc>
          <w:tcPr>
            <w:tcW w:type="dxa" w:w="2880"/>
          </w:tcPr>
          <w:p>
            <w:r>
              <w:t>Год 3+</w:t>
            </w:r>
          </w:p>
        </w:tc>
        <w:tc>
          <w:tcPr>
            <w:tcW w:type="dxa" w:w="2880"/>
          </w:tcPr>
          <w:p>
            <w:r>
              <w:t>Лос-Анджелес</w:t>
            </w:r>
          </w:p>
        </w:tc>
        <w:tc>
          <w:tcPr>
            <w:tcW w:type="dxa" w:w="2880"/>
          </w:tcPr>
          <w:p>
            <w:r>
              <w:t>Новый хаб</w:t>
            </w:r>
          </w:p>
        </w:tc>
      </w:tr>
      <w:tr>
        <w:tc>
          <w:tcPr>
            <w:tcW w:type="dxa" w:w="2880"/>
          </w:tcPr>
          <w:p>
            <w:r>
              <w:t>Год 4–5</w:t>
            </w:r>
          </w:p>
        </w:tc>
        <w:tc>
          <w:tcPr>
            <w:tcW w:type="dxa" w:w="2880"/>
          </w:tcPr>
          <w:p>
            <w:r>
              <w:t>Портленд/Сиэтл</w:t>
            </w:r>
          </w:p>
        </w:tc>
        <w:tc>
          <w:tcPr>
            <w:tcW w:type="dxa" w:w="2880"/>
          </w:tcPr>
          <w:p>
            <w:r>
              <w:t>Новый хаб / лицензирование</w:t>
            </w:r>
          </w:p>
        </w:tc>
      </w:tr>
    </w:tbl>
    <w:p>
      <w:r>
        <w:t>Sensitivity для investor review: при среднем B2B-чеке $12k / $14.05k / $16k aggressive 1-shift Y3 EBITDA ориентировочно составляет ~$3.17M / $5.31M / $7.34M. Источник benchmark: JLC Cost vs Value 2025, Sacramento CA; см. https://www.jlconline.com/cost-vs-value/2025/pacific/sacramento-ca/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