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1F4E79"/>
          <w:sz w:val="40"/>
        </w:rPr>
        <w:t>Резюме проекта (Executive Summary)</w:t>
      </w:r>
    </w:p>
    <w:p>
      <w:r>
        <w:rPr>
          <w:i/>
          <w:color w:val="666666"/>
          <w:sz w:val="22"/>
        </w:rPr>
        <w:t>Автоматическая мебельная фабрика · Industry 4.0 · Сакраменто / Северная Калифорния</w:t>
      </w:r>
    </w:p>
    <w:p/>
    <w:p>
      <w:r>
        <w:rPr>
          <w:b/>
          <w:color w:val="1F4E79"/>
          <w:sz w:val="26"/>
        </w:rPr>
        <w:t>Суть</w:t>
      </w:r>
    </w:p>
    <w:p>
      <w:r>
        <w:rPr>
          <w:b w:val="0"/>
        </w:rPr>
        <w:t>Строим автоматизированную фабрику корпусной мебели (кухни, шкафы) уровня Industry 4.0 в Сакраменто. Линия «под ключ» одним брендом HOMAG: автосклад STORETEQ → пила SAWTEQ flexTec (робот загружает и раскладывает детали, без рук) → 6-сторонняя присадка DRILLTEQ H-610 (присадка+паз+фрезеровка) + вертикальный DRILLTEQ V-310 для мелочи → двусторонняя кромка EDGETEQ D-810 → фасады (плёнка + покраска SPRAYTEQ/UV) → ОТК → авто-упаковка PAQTEQ. Цифровая нить tapio. Приём заказов — через онлайн-конфигуратор. Цех обслуживают ~7 человек; раскрой/присадка/упаковка автоматизированы (робот), управление — через дашборды tapio/MES. Производительность ~10 кухонь/день (до 2 520/год, 1 смена).</w:t>
      </w:r>
    </w:p>
    <w:p>
      <w:r>
        <w:rPr>
          <w:b/>
          <w:color w:val="1F4E79"/>
          <w:sz w:val="26"/>
        </w:rPr>
        <w:t>Тезис</w:t>
      </w:r>
    </w:p>
    <w:p>
      <w:r>
        <w:rPr>
          <w:b w:val="0"/>
        </w:rPr>
        <w:t>В производстве мебели главная статья затрат — труд. Industry 4.0 её обрушивает: мы держим цену ниже традиционных цехов и короткий срок. Соседние производители в радиусе ~150 миль перестают конкурировать по себестоимости и становятся нашими оптовыми клиентами.</w:t>
      </w:r>
    </w:p>
    <w:p>
      <w:r>
        <w:rPr>
          <w:b/>
          <w:color w:val="1F4E79"/>
          <w:sz w:val="26"/>
        </w:rPr>
        <w:t>Экономика — 3 сценария (общий раунд $5.0M)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  <w:t>Сценарий</w:t>
            </w:r>
          </w:p>
        </w:tc>
        <w:tc>
          <w:tcPr>
            <w:tcW w:type="dxa" w:w="1728"/>
          </w:tcPr>
          <w:p>
            <w:r>
              <w:rPr>
                <w:b/>
              </w:rPr>
              <w:t>Выручка Y3</w:t>
            </w:r>
          </w:p>
        </w:tc>
        <w:tc>
          <w:tcPr>
            <w:tcW w:type="dxa" w:w="1728"/>
          </w:tcPr>
          <w:p>
            <w:r>
              <w:rPr>
                <w:b/>
              </w:rPr>
              <w:t>EBITDA Y3</w:t>
            </w:r>
          </w:p>
        </w:tc>
        <w:tc>
          <w:tcPr>
            <w:tcW w:type="dxa" w:w="1728"/>
          </w:tcPr>
          <w:p>
            <w:r>
              <w:rPr>
                <w:b/>
              </w:rPr>
              <w:t>Окупаемость</w:t>
            </w:r>
          </w:p>
        </w:tc>
        <w:tc>
          <w:tcPr>
            <w:tcW w:type="dxa" w:w="1728"/>
          </w:tcPr>
          <w:p>
            <w:r>
              <w:rPr>
                <w:b/>
              </w:rPr>
              <w:t>ROI Y3 (после налога)</w:t>
            </w:r>
          </w:p>
        </w:tc>
      </w:tr>
      <w:tr>
        <w:tc>
          <w:tcPr>
            <w:tcW w:type="dxa" w:w="1728"/>
          </w:tcPr>
          <w:p>
            <w:r>
              <w:t>Консервативный (1 смена)</w:t>
            </w:r>
          </w:p>
        </w:tc>
        <w:tc>
          <w:tcPr>
            <w:tcW w:type="dxa" w:w="1728"/>
          </w:tcPr>
          <w:p>
            <w:r>
              <w:t>$9.8M</w:t>
            </w:r>
          </w:p>
        </w:tc>
        <w:tc>
          <w:tcPr>
            <w:tcW w:type="dxa" w:w="1728"/>
          </w:tcPr>
          <w:p>
            <w:r>
              <w:t>$2.78M (28%)</w:t>
            </w:r>
          </w:p>
        </w:tc>
        <w:tc>
          <w:tcPr>
            <w:tcW w:type="dxa" w:w="1728"/>
          </w:tcPr>
          <w:p>
            <w:r>
              <w:t>~4.0 года</w:t>
            </w:r>
          </w:p>
        </w:tc>
        <w:tc>
          <w:tcPr>
            <w:tcW w:type="dxa" w:w="1728"/>
          </w:tcPr>
          <w:p>
            <w:r>
              <w:t>~34%</w:t>
            </w:r>
          </w:p>
        </w:tc>
      </w:tr>
      <w:tr>
        <w:tc>
          <w:tcPr>
            <w:tcW w:type="dxa" w:w="1728"/>
          </w:tcPr>
          <w:p>
            <w:r>
              <w:t>Агрессивный (1 смена)</w:t>
            </w:r>
          </w:p>
        </w:tc>
        <w:tc>
          <w:tcPr>
            <w:tcW w:type="dxa" w:w="1728"/>
          </w:tcPr>
          <w:p>
            <w:r>
              <w:t>$16.9M</w:t>
            </w:r>
          </w:p>
        </w:tc>
        <w:tc>
          <w:tcPr>
            <w:tcW w:type="dxa" w:w="1728"/>
          </w:tcPr>
          <w:p>
            <w:r>
              <w:t>$5.31M (32%)</w:t>
            </w:r>
          </w:p>
        </w:tc>
        <w:tc>
          <w:tcPr>
            <w:tcW w:type="dxa" w:w="1728"/>
          </w:tcPr>
          <w:p>
            <w:r>
              <w:t>~2.7 года</w:t>
            </w:r>
          </w:p>
        </w:tc>
        <w:tc>
          <w:tcPr>
            <w:tcW w:type="dxa" w:w="1728"/>
          </w:tcPr>
          <w:p>
            <w:r>
              <w:t>~71%</w:t>
            </w:r>
          </w:p>
        </w:tc>
      </w:tr>
      <w:tr>
        <w:tc>
          <w:tcPr>
            <w:tcW w:type="dxa" w:w="1728"/>
          </w:tcPr>
          <w:p>
            <w:r>
              <w:t>Агрессивный + 2 смены с Y2</w:t>
            </w:r>
          </w:p>
        </w:tc>
        <w:tc>
          <w:tcPr>
            <w:tcW w:type="dxa" w:w="1728"/>
          </w:tcPr>
          <w:p>
            <w:r>
              <w:t>$23.9M</w:t>
            </w:r>
          </w:p>
        </w:tc>
        <w:tc>
          <w:tcPr>
            <w:tcW w:type="dxa" w:w="1728"/>
          </w:tcPr>
          <w:p>
            <w:r>
              <w:t>$7.34M (31%)</w:t>
            </w:r>
          </w:p>
        </w:tc>
        <w:tc>
          <w:tcPr>
            <w:tcW w:type="dxa" w:w="1728"/>
          </w:tcPr>
          <w:p>
            <w:r>
              <w:t>~2.3 года</w:t>
            </w:r>
          </w:p>
        </w:tc>
        <w:tc>
          <w:tcPr>
            <w:tcW w:type="dxa" w:w="1728"/>
          </w:tcPr>
          <w:p>
            <w:r>
              <w:t>~100%</w:t>
            </w:r>
          </w:p>
        </w:tc>
      </w:tr>
    </w:tbl>
    <w:p>
      <w:r>
        <w:rPr>
          <w:b w:val="0"/>
        </w:rPr>
        <w:t>Разница между сценариями — скорость наполнения линии за счёт маркетинга. Завод и так способен на 2 520 кухонь/год (1 смена) — узкое место не производство, а спрос/скорость продаж. Агрессивная реклама (минимум $20k/мес + 9% выручки) финансирует быстрый разгон. Безубыточность по EBITDA — 7–9-й месяц.</w:t>
      </w:r>
    </w:p>
    <w:p>
      <w:r>
        <w:rPr>
          <w:b/>
          <w:color w:val="1F4E79"/>
          <w:sz w:val="26"/>
        </w:rPr>
        <w:t>Рынок и защитный радиус</w:t>
      </w:r>
    </w:p>
    <w:p>
      <w:pPr>
        <w:pStyle w:val="ListBullet"/>
      </w:pPr>
      <w:r>
        <w:t>Рынок: вся Северная Калифорния (Bay Area + Сакраменто + долина, ~15 млн чел.), оценка ~$1B+/год.</w:t>
      </w:r>
    </w:p>
    <w:p>
      <w:pPr>
        <w:pStyle w:val="ListBullet"/>
      </w:pPr>
      <w:r>
        <w:t>Доля рынка: ~1.0–2.4% всего рынка ($1B+) или ~5–12% нашего B2B-сегмента ($150–250M) — по сценарию; места для роста много.</w:t>
      </w:r>
    </w:p>
    <w:p>
      <w:pPr>
        <w:pStyle w:val="ListBullet"/>
      </w:pPr>
      <w:r>
        <w:t>Хаб в Сакраменто закрывает регион по себестоимости; далее масштабирование хабами (LA, Портленд/Сиэтл).</w:t>
      </w:r>
    </w:p>
    <w:p>
      <w:r>
        <w:rPr>
          <w:b/>
          <w:color w:val="1F4E79"/>
          <w:sz w:val="26"/>
        </w:rPr>
        <w:t>Запрос</w:t>
      </w:r>
    </w:p>
    <w:p>
      <w:r>
        <w:rPr>
          <w:b w:val="0"/>
        </w:rPr>
        <w:t>Основной вход — лизинг оборудования: инвестору нужно ~$1.9M (аванс + оборотный капитал + резерв) вместо $5.0M на полный выкуп линии «под ключ». Полный выкуп за $5.0M (CapEx + помещение + оборотный капитал) — альтернатива. Возможен фазовый старт на value-тире (~$2.0–2.2M). Структура использования средств — в отдельном документе.</w:t>
      </w:r>
    </w:p>
    <w:p>
      <w:r>
        <w:rPr>
          <w:b/>
          <w:color w:val="1F4E79"/>
          <w:sz w:val="26"/>
        </w:rPr>
        <w:t>Управляющий</w:t>
      </w:r>
    </w:p>
    <w:p>
      <w:r>
        <w:rPr>
          <w:b w:val="0"/>
        </w:rPr>
        <w:t>Evgenii Kaluzhin — участвовал в создании крупной мебельной фабрики с нуля (120 человек), прошёл все роли: наладчик станков → начальник IT → руководитель снабжения → финансовый директор. Создал с нуля финансовые продукты в банках топ-10; более 15 успешных бизнес-проектов; промышленная/ЧПУ-автоматизация и enterprise-софт. Редкое сочетание: реальное мебельное производство (все стадии) + софт и автоматизация — фабрика управляется как продукт.</w:t>
      </w:r>
    </w:p>
    <w:p>
      <w:r>
        <w:t>Средний чек $14 050 трактуется как B2B wholesale cabinet package: корпус/фасады/фурнитура/flat-pack, без установки, countertops, appliances, plumbing/electrical и полной remodel-сметы. Это важно для корректного сравнения с Sacramento kitchen remodel benchmark.</w:t>
      </w:r>
    </w:p>
    <w:p/>
    <w:p>
      <w:pPr>
        <w:pStyle w:val="Heading2"/>
        <w:keepNext/>
      </w:pPr>
      <w:r>
        <w:t>Лизинг оборудования — основной вход</w:t>
      </w:r>
    </w:p>
    <w:p>
      <w:r>
        <w:t>ОСНОВНОЙ способ входа — лизинг оборудования линии ~$3.41M. База: 10% аванс, 72 мес, 9% APR → платёж ~$55k/мес, а необходимый вход инвестора (equity + оборотный капитал + резерв) снижается с $5.0M примерно до $1.9M. Стресс-условия для стартапа (15% аванс, 60 мес, 12%): ~$64k/мес, вход ~$2.1M — экономика остаётся положительной. ROI Y3 на equity при лизинге (агрессив.) ~170% (база) / ~150% (стресс). Без double counting: lease payment учитывается отдельно, а leased equipment не амортизируется второй раз. Полный выкуп за $5.0M — альтернатива. Классификацию ASC 842 подтверждает CPA.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